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26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9.2022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отдельные нормативные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en-US" w:bidi="ru-RU"/>
        </w:rPr>
        <w:t>правовые акты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26</w:t>
      </w:r>
      <w:r>
        <w:rPr>
          <w:rFonts w:ascii="PT Astra Serif" w:hAnsi="PT Astra Serif"/>
          <w:sz w:val="26"/>
          <w:szCs w:val="26"/>
          <w:lang w:val="ru-RU"/>
        </w:rPr>
        <w:t xml:space="preserve"> сентября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отдельные нормативные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en-US" w:bidi="ru-RU"/>
        </w:rPr>
        <w:t>правовые акты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6"/>
          <w:szCs w:val="26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Проект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разработан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целях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совершенствования процедуры предварительного отбора проектов</w:t>
      </w:r>
      <w:r>
        <w:rPr>
          <w:rFonts w:eastAsia="" w:cs="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, установленной Правилами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 утверждёнными постановлением Правительства Ульяновской области от 05.03.2021 № 52-П «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Об утверждении Правил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области», а также в целях приведения постановления Правительства Ульяновской области от 04.05.2022 № 217-П «О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 по договору найма жилого помещения»</w:t>
        <w:br/>
      </w:r>
      <w:r>
        <w:rPr>
          <w:rFonts w:eastAsia="" w:cs="" w:ascii="PT Astra Serif" w:hAnsi="PT Astra Serif"/>
          <w:b w:val="false"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 xml:space="preserve">в соответствие с приложением № </w:t>
      </w:r>
      <w:r>
        <w:rPr>
          <w:rFonts w:eastAsia="Calibri" w:cs="PT Astra Serif" w:ascii="PT Astra Serif" w:hAnsi="PT Astra Serif" w:eastAsiaTheme="minorHAnsi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en-US" w:bidi="ar-SA"/>
        </w:rPr>
        <w:t>11 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</w:t>
        <w:br/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и предварительного отбора проектов комплексного развития сельских территорий Ульяновской области или сельских агломераций на территории Ульяновской области.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Application>LibreOffice/6.4.7.2$Linux_X86_64 LibreOffice_project/40$Build-2</Application>
  <Pages>1</Pages>
  <Words>298</Words>
  <Characters>2449</Characters>
  <CharactersWithSpaces>2785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2022-09-26T11:07:05Z</cp:lastPrinted>
  <dcterms:modified xsi:type="dcterms:W3CDTF">2022-09-26T11:32:47Z</dcterms:modified>
  <cp:revision>73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